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7A" w:rsidRDefault="00CA3AFF"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Управление Роскомнадзора по Калужской области информирует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Любая информация, позволяющая прямо или косвенно установить конкретное физическое лицо, является персональными данными и подлежит защите в соответствии с действующим законодательством Российской Федерации.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является основной целью Федерального закона от 27.07.2006 № 152-ФЗ «О персональных данных».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Законодательство возлагает на юридических лиц, организующих или осуществляющих обработку персональных данных, необходимость принятия достаточных мер для защиты персональных данных.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Обязанность хозяйствующих субъектов, осуществляющих в процессе своей деятельности обработку персональных данных, предоставить, за исключением установленных законодательством случаев, в уполномоченный орган уведомление об обработке (намерении осуществлять обработку) персональных данных, предусмотрена ч. 1 ст. 22 Федерального закона «О персональных данных».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Кроме того, часть 7 указанной статьи возлагает на операторов, включенных в реестр, обязанность по поддержанию предоставленной информации в актуальном состоянии путем предоставления информационных писем о внесении изменений в реестр операторов персональных данных.</w:t>
      </w:r>
      <w:r>
        <w:rPr>
          <w:rFonts w:ascii="Trebuchet MS" w:hAnsi="Trebuchet MS"/>
          <w:color w:val="1B1F21"/>
          <w:sz w:val="20"/>
          <w:szCs w:val="20"/>
        </w:rPr>
        <w:br/>
      </w:r>
      <w:r>
        <w:rPr>
          <w:rFonts w:ascii="Trebuchet MS" w:hAnsi="Trebuchet MS"/>
          <w:color w:val="1B1F21"/>
          <w:sz w:val="20"/>
          <w:szCs w:val="20"/>
          <w:shd w:val="clear" w:color="auto" w:fill="FFFFFF"/>
        </w:rPr>
        <w:t>Анализ причин не предоставления операторами в уполномоченный орган указанных уведомлений и информационных писем свидетельствует, что: во-первых, часть операторов не располагает сведениями о наличии обязанности по регистрации в реестре, или полагает, что в ходе деятельности обработку персональных данных не осуществляют; во-вторых, ряд хозяйствующих субъектов считает, что включение их в реестр повлечет за собой проверку уполномоченным органом на предмет исполнения требований законодательства в сфере персональных данных; в-третьих, наиболее частой причиной отказа оператора предоставить уведомление является заблуждение в части осуществления действий с персональными данными, подпадающих под предусмотренные законодательством исключения.</w:t>
      </w:r>
      <w:bookmarkStart w:id="0" w:name="_GoBack"/>
      <w:bookmarkEnd w:id="0"/>
    </w:p>
    <w:sectPr w:rsidR="0059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F"/>
    <w:rsid w:val="00590E7A"/>
    <w:rsid w:val="00C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4ED3-44E8-43B0-B990-6BB3917B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1</cp:revision>
  <dcterms:created xsi:type="dcterms:W3CDTF">2020-08-07T12:16:00Z</dcterms:created>
  <dcterms:modified xsi:type="dcterms:W3CDTF">2020-08-07T12:17:00Z</dcterms:modified>
</cp:coreProperties>
</file>