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90" w:rsidRDefault="00613984" w:rsidP="00ED799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3984" w:rsidRPr="00613984" w:rsidRDefault="00613984" w:rsidP="00ED79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990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1398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b/>
          <w:sz w:val="24"/>
          <w:szCs w:val="24"/>
        </w:rPr>
        <w:t>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A96470" w:rsidRDefault="00A96470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115F1D" w:rsidP="0061398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«____» __________</w:t>
      </w:r>
      <w:r w:rsidR="00C54A0C">
        <w:rPr>
          <w:rFonts w:ascii="Times New Roman" w:hAnsi="Times New Roman"/>
          <w:sz w:val="24"/>
          <w:szCs w:val="24"/>
        </w:rPr>
        <w:t xml:space="preserve"> 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6D131B">
        <w:rPr>
          <w:rFonts w:ascii="Times New Roman" w:hAnsi="Times New Roman"/>
          <w:sz w:val="24"/>
          <w:szCs w:val="24"/>
        </w:rPr>
        <w:t xml:space="preserve">                    </w:t>
      </w:r>
      <w:r w:rsidR="00613984" w:rsidRPr="0061398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B0789A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3634740" cy="93726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D12242" w:rsidRDefault="00613984" w:rsidP="000260E3">
                            <w:pPr>
                              <w:spacing w:after="0" w:line="240" w:lineRule="auto"/>
                            </w:pPr>
                            <w:proofErr w:type="gramStart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</w:t>
                            </w:r>
                            <w:proofErr w:type="gramEnd"/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внесении изменений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Постановление № 21-П от 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17.03.2017г. «Об утверждении муниципальной программы «Развитие рынка труда в МО ГП «Город </w:t>
                            </w:r>
                            <w:proofErr w:type="spellStart"/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Кременки</w:t>
                            </w:r>
                            <w:proofErr w:type="spellEnd"/>
                            <w:r w:rsidR="000260E3" w:rsidRPr="000260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86.2pt;height:7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" stroked="f">
                <v:textbox>
                  <w:txbxContent>
                    <w:p w:rsidR="00613984" w:rsidRPr="00D12242" w:rsidRDefault="00613984" w:rsidP="000260E3">
                      <w:pPr>
                        <w:spacing w:after="0" w:line="240" w:lineRule="auto"/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внесении изменений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</w:t>
                      </w:r>
                      <w:r w:rsid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Постановление № 21-П от 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17.03.2017г. «Об утверждении муниципальной программы «Развитие рынка труда в МО ГП «Город </w:t>
                      </w:r>
                      <w:proofErr w:type="spellStart"/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="000260E3" w:rsidRPr="000260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13984">
        <w:rPr>
          <w:rFonts w:ascii="Times New Roman" w:hAnsi="Times New Roman"/>
          <w:sz w:val="24"/>
          <w:szCs w:val="24"/>
        </w:rPr>
        <w:t>г.Кремёнки</w:t>
      </w:r>
      <w:proofErr w:type="spellEnd"/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3366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6D131B">
          <w:rPr>
            <w:rFonts w:ascii="Times New Roman" w:eastAsiaTheme="minorHAnsi" w:hAnsi="Times New Roman"/>
            <w:color w:val="0000FF"/>
            <w:sz w:val="24"/>
            <w:szCs w:val="24"/>
          </w:rPr>
          <w:t>ст. 179.3</w:t>
        </w:r>
      </w:hyperlink>
      <w:r w:rsidRPr="006D131B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="00C94FEF">
        <w:rPr>
          <w:rFonts w:ascii="Times New Roman" w:eastAsiaTheme="minorHAnsi" w:hAnsi="Times New Roman"/>
          <w:sz w:val="24"/>
          <w:szCs w:val="24"/>
        </w:rPr>
        <w:t>», утвержденным постановлением А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дминистрации ГП «Город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 xml:space="preserve">» от 26.11.2013 N 144-п в целях повышения качества управления общественными финансами в муниципальном образовании городское поселение "Город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 xml:space="preserve">", Администрация городского поселения "Город </w:t>
      </w:r>
      <w:proofErr w:type="spellStart"/>
      <w:r w:rsidRPr="006D131B">
        <w:rPr>
          <w:rFonts w:ascii="Times New Roman" w:eastAsiaTheme="minorHAnsi" w:hAnsi="Times New Roman"/>
          <w:sz w:val="24"/>
          <w:szCs w:val="24"/>
        </w:rPr>
        <w:t>Кремёнки</w:t>
      </w:r>
      <w:proofErr w:type="spellEnd"/>
      <w:r w:rsidRPr="006D131B">
        <w:rPr>
          <w:rFonts w:ascii="Times New Roman" w:eastAsiaTheme="minorHAnsi" w:hAnsi="Times New Roman"/>
          <w:sz w:val="24"/>
          <w:szCs w:val="24"/>
        </w:rPr>
        <w:t>"</w:t>
      </w: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>-</w:t>
      </w:r>
      <w:proofErr w:type="gramStart"/>
      <w:r w:rsidRPr="006D131B">
        <w:rPr>
          <w:rFonts w:ascii="Times New Roman" w:eastAsiaTheme="minorHAnsi" w:hAnsi="Times New Roman"/>
          <w:sz w:val="24"/>
          <w:szCs w:val="24"/>
        </w:rPr>
        <w:t xml:space="preserve">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115F1D">
        <w:rPr>
          <w:rFonts w:ascii="Times New Roman" w:eastAsiaTheme="minorHAnsi" w:hAnsi="Times New Roman"/>
          <w:sz w:val="24"/>
          <w:szCs w:val="24"/>
        </w:rPr>
        <w:t xml:space="preserve">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 w:rsidR="00336608">
        <w:rPr>
          <w:rFonts w:ascii="Times New Roman" w:hAnsi="Times New Roman"/>
          <w:sz w:val="24"/>
          <w:szCs w:val="24"/>
        </w:rPr>
        <w:t>Кременки</w:t>
      </w:r>
      <w:proofErr w:type="spellEnd"/>
      <w:r w:rsidR="00336608">
        <w:rPr>
          <w:rFonts w:ascii="Times New Roman" w:hAnsi="Times New Roman"/>
          <w:sz w:val="24"/>
          <w:szCs w:val="24"/>
        </w:rPr>
        <w:t>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="00C94C3C">
        <w:rPr>
          <w:rFonts w:ascii="Times New Roman" w:hAnsi="Times New Roman"/>
          <w:sz w:val="24"/>
          <w:szCs w:val="24"/>
        </w:rPr>
        <w:t>Т.Д.Калинкина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Pr="00936A0E" w:rsidRDefault="00936A0E" w:rsidP="00936A0E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</w:t>
                        </w:r>
                        <w:proofErr w:type="spellStart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Кременковский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Кременки</w:t>
                        </w:r>
                        <w:proofErr w:type="spell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</w:t>
                        </w:r>
                        <w:proofErr w:type="spellStart"/>
                        <w:r w:rsidRPr="00CD33C6">
                          <w:t>Кременки</w:t>
                        </w:r>
                        <w:proofErr w:type="spellEnd"/>
                        <w:r w:rsidRPr="00CD33C6">
                          <w:t xml:space="preserve"> в </w:t>
                        </w:r>
                        <w:proofErr w:type="gramStart"/>
                        <w:r w:rsidRPr="00CD33C6">
                          <w:t>возрасте  от</w:t>
                        </w:r>
                        <w:proofErr w:type="gramEnd"/>
                        <w:r w:rsidRPr="00CD33C6">
                          <w:t xml:space="preserve">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</w:t>
                        </w:r>
                        <w:proofErr w:type="gramStart"/>
                        <w:r w:rsidR="00DF31C5" w:rsidRPr="00CD33C6">
                          <w:t>возрасте  от</w:t>
                        </w:r>
                        <w:proofErr w:type="gramEnd"/>
                        <w:r w:rsidR="00DF31C5" w:rsidRPr="00CD33C6">
                          <w:t xml:space="preserve">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ED48A0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2017-2020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</w:t>
                              </w:r>
                              <w:proofErr w:type="gramEnd"/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71522,03</w:t>
                              </w: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71522,08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11522,03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11522,08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ED48A0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трудоустройства несовершеннолетних не менее </w:t>
                        </w:r>
                        <w:r w:rsidR="000260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</w:t>
                        </w:r>
                        <w:proofErr w:type="gramEnd"/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Основными целями данной Программы является создание условий, способствующих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временному  трудоустройству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безработных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временное трудоустройство граждан г.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возрасте  от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Муниципальным казенным учреждением культуры "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Культуры", Государственным казенным учреждением Калужской области «Центр 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дминистрацию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</w:t>
                  </w:r>
                  <w:proofErr w:type="spellStart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0260E3"/>
    <w:rsid w:val="00115F1D"/>
    <w:rsid w:val="00271A05"/>
    <w:rsid w:val="00275B46"/>
    <w:rsid w:val="002C2DE8"/>
    <w:rsid w:val="002F0348"/>
    <w:rsid w:val="002F38B1"/>
    <w:rsid w:val="00336608"/>
    <w:rsid w:val="004E7328"/>
    <w:rsid w:val="005919E5"/>
    <w:rsid w:val="005F3CFE"/>
    <w:rsid w:val="00613984"/>
    <w:rsid w:val="0062452C"/>
    <w:rsid w:val="006D131B"/>
    <w:rsid w:val="008214E5"/>
    <w:rsid w:val="00890F14"/>
    <w:rsid w:val="00936A0E"/>
    <w:rsid w:val="00A1465E"/>
    <w:rsid w:val="00A25187"/>
    <w:rsid w:val="00A96470"/>
    <w:rsid w:val="00AE0714"/>
    <w:rsid w:val="00B0789A"/>
    <w:rsid w:val="00B121DB"/>
    <w:rsid w:val="00B17AAA"/>
    <w:rsid w:val="00B616EF"/>
    <w:rsid w:val="00B9219A"/>
    <w:rsid w:val="00B97CAF"/>
    <w:rsid w:val="00BD08D1"/>
    <w:rsid w:val="00C12891"/>
    <w:rsid w:val="00C54A0C"/>
    <w:rsid w:val="00C94C3C"/>
    <w:rsid w:val="00C94FEF"/>
    <w:rsid w:val="00CA036F"/>
    <w:rsid w:val="00CA20B7"/>
    <w:rsid w:val="00CD33C6"/>
    <w:rsid w:val="00D14623"/>
    <w:rsid w:val="00DF31C5"/>
    <w:rsid w:val="00ED48A0"/>
    <w:rsid w:val="00ED7990"/>
    <w:rsid w:val="00EF6764"/>
    <w:rsid w:val="00F4145C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8</cp:revision>
  <cp:lastPrinted>2017-03-10T09:23:00Z</cp:lastPrinted>
  <dcterms:created xsi:type="dcterms:W3CDTF">2018-01-15T05:25:00Z</dcterms:created>
  <dcterms:modified xsi:type="dcterms:W3CDTF">2018-02-12T12:32:00Z</dcterms:modified>
</cp:coreProperties>
</file>